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DA" w:rsidRPr="009413DA" w:rsidRDefault="009413DA" w:rsidP="009413D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9413DA">
        <w:rPr>
          <w:b/>
          <w:bCs/>
          <w:color w:val="333333"/>
          <w:sz w:val="28"/>
          <w:szCs w:val="28"/>
        </w:rPr>
        <w:t xml:space="preserve">Расширены возможности использования средств материнского капитала на улучшение жилищных условий 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bookmarkEnd w:id="0"/>
    <w:p w:rsidR="009413DA" w:rsidRPr="009413DA" w:rsidRDefault="009413DA" w:rsidP="009413D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Согласно постановлению Правительства Российской Федерации от 09.04.2024 № 441 установлена возможность использования средств материнского капитала для семей с детьми, включающие в себя проведение реконструкции дома блокированной застройки (жилой дом, который имеет общую стену (или стены) с другим жилым домом и имеет отдельный выход на земельный участок) и улучшить жилищные условия.</w:t>
      </w:r>
    </w:p>
    <w:p w:rsidR="009413DA" w:rsidRPr="009413DA" w:rsidRDefault="009413DA" w:rsidP="009413D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Средства или часть средств материнского капитала разрешается направить на указанную реконструкцию или на компенсацию таких затрат, если реконструкция уже проведена.</w:t>
      </w:r>
    </w:p>
    <w:p w:rsidR="009413DA" w:rsidRPr="009413DA" w:rsidRDefault="009413DA" w:rsidP="009413D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С февраля 2024 года размер материнского капитала увеличен до 630,4 тыс. рублей на первого ребенка и до 833 тыс. рублей – на второго.</w:t>
      </w:r>
    </w:p>
    <w:p w:rsidR="009413DA" w:rsidRPr="009413DA" w:rsidRDefault="009413DA" w:rsidP="009413D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Указанные средства можно направить: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на покупку и строительство жилья;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реконструкцию частного дома;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оплату обучения детей;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формирование накопительной части пенсии родителей;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приобретение товаров и услуг для детей-инвалидов;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ежемесячную выплату на ребенка до трех лет;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на реконструкцию дома блокированной застройки.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3098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DC04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2024-05-15T17:42:00Z</cp:lastPrinted>
  <dcterms:created xsi:type="dcterms:W3CDTF">2024-05-15T17:42:00Z</dcterms:created>
  <dcterms:modified xsi:type="dcterms:W3CDTF">2024-05-28T10:07:00Z</dcterms:modified>
</cp:coreProperties>
</file>